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15DF" w:rsidRDefault="00FB15DF" w:rsidP="00FB15DF">
      <w:pPr>
        <w:rPr>
          <w:b/>
        </w:rPr>
      </w:pPr>
      <w:r>
        <w:rPr>
          <w:b/>
        </w:rPr>
        <w:t>Statistically validating a classification exercise</w:t>
      </w:r>
    </w:p>
    <w:p w:rsidR="000C0A61" w:rsidRDefault="00FB15DF" w:rsidP="00FB15DF">
      <w:r>
        <w:rPr>
          <w:b/>
        </w:rPr>
        <w:tab/>
      </w:r>
      <w:r>
        <w:t>In t</w:t>
      </w:r>
      <w:r w:rsidR="00425447">
        <w:t>his exercise we will look</w:t>
      </w:r>
      <w:r>
        <w:t xml:space="preserve"> at statistical measures of </w:t>
      </w:r>
      <w:r w:rsidR="0065795F">
        <w:t xml:space="preserve">association and agreement using a training dataset </w:t>
      </w:r>
      <w:r w:rsidR="00640EC6">
        <w:t>and the</w:t>
      </w:r>
      <w:r>
        <w:t xml:space="preserve"> weighted validation dataset </w:t>
      </w:r>
      <w:r w:rsidR="0065795F">
        <w:t xml:space="preserve">from exercise 2. </w:t>
      </w:r>
      <w:r w:rsidR="00CD5179">
        <w:t>The training dataset</w:t>
      </w:r>
      <w:r w:rsidR="000C0A61">
        <w:t xml:space="preserve"> </w:t>
      </w:r>
      <w:r w:rsidR="00C86E78">
        <w:t>consists of</w:t>
      </w:r>
      <w:r w:rsidR="0098722F">
        <w:t xml:space="preserve"> </w:t>
      </w:r>
      <w:r w:rsidR="00C86E78">
        <w:t>200</w:t>
      </w:r>
      <w:r w:rsidR="00CD5179">
        <w:t xml:space="preserve"> samples</w:t>
      </w:r>
      <w:r w:rsidR="00A231E7">
        <w:t xml:space="preserve"> randomly</w:t>
      </w:r>
      <w:r w:rsidR="0098722F">
        <w:t xml:space="preserve"> distributed across each </w:t>
      </w:r>
      <w:r w:rsidR="00C86E78">
        <w:t>cluster</w:t>
      </w:r>
      <w:r w:rsidR="00CD5179">
        <w:t xml:space="preserve"> </w:t>
      </w:r>
      <w:r w:rsidR="0098722F">
        <w:t>within</w:t>
      </w:r>
      <w:r w:rsidR="00CD5179">
        <w:t xml:space="preserve"> </w:t>
      </w:r>
      <w:r w:rsidR="00C86E78">
        <w:t xml:space="preserve">the </w:t>
      </w:r>
      <w:r w:rsidR="00425447">
        <w:t>“</w:t>
      </w:r>
      <w:r w:rsidR="00C86E78">
        <w:t>CLUST</w:t>
      </w:r>
      <w:r w:rsidR="00425447">
        <w:t>”</w:t>
      </w:r>
      <w:r w:rsidR="00C86E78">
        <w:t xml:space="preserve"> dataset</w:t>
      </w:r>
      <w:r w:rsidR="00602154">
        <w:rPr>
          <w:rStyle w:val="FootnoteReference"/>
        </w:rPr>
        <w:footnoteReference w:id="1"/>
      </w:r>
      <w:r w:rsidR="0098722F">
        <w:t>. Similarly</w:t>
      </w:r>
      <w:r w:rsidR="00425447">
        <w:t>,</w:t>
      </w:r>
      <w:r w:rsidR="0098722F">
        <w:t xml:space="preserve"> the</w:t>
      </w:r>
      <w:r w:rsidR="000C0A61">
        <w:t xml:space="preserve"> </w:t>
      </w:r>
      <w:r w:rsidR="00425447">
        <w:t>“</w:t>
      </w:r>
      <w:r>
        <w:t>Valida</w:t>
      </w:r>
      <w:r w:rsidR="00602154">
        <w:t>tion</w:t>
      </w:r>
      <w:r w:rsidR="00425447">
        <w:t>”</w:t>
      </w:r>
      <w:r w:rsidR="00602154">
        <w:t xml:space="preserve"> point feature class has 210</w:t>
      </w:r>
      <w:r>
        <w:t xml:space="preserve"> </w:t>
      </w:r>
      <w:r w:rsidR="00CD5179">
        <w:t xml:space="preserve">independent </w:t>
      </w:r>
      <w:r>
        <w:t>samples</w:t>
      </w:r>
      <w:r w:rsidR="00602154">
        <w:t>,</w:t>
      </w:r>
      <w:r w:rsidR="000C0A61">
        <w:t xml:space="preserve"> equally distributed across </w:t>
      </w:r>
      <w:r w:rsidR="00C86E78">
        <w:t xml:space="preserve">each class of </w:t>
      </w:r>
      <w:r w:rsidR="000C0A61">
        <w:t>our study area</w:t>
      </w:r>
      <w:r>
        <w:t>.</w:t>
      </w:r>
      <w:r w:rsidR="000C0A61">
        <w:t xml:space="preserve"> Both datasets have 2 fields named </w:t>
      </w:r>
      <w:r w:rsidR="00425447">
        <w:t>“</w:t>
      </w:r>
      <w:r w:rsidR="000C0A61">
        <w:t>Value</w:t>
      </w:r>
      <w:r w:rsidR="00425447">
        <w:t>”</w:t>
      </w:r>
      <w:r w:rsidR="000C0A61">
        <w:t xml:space="preserve"> and </w:t>
      </w:r>
      <w:r w:rsidR="00425447">
        <w:t>“</w:t>
      </w:r>
      <w:r w:rsidR="000C0A61">
        <w:t>Category</w:t>
      </w:r>
      <w:r w:rsidR="00425447">
        <w:t>”</w:t>
      </w:r>
      <w:r w:rsidR="000C0A61">
        <w:t xml:space="preserve"> that identify the mapped classes and field observed classes, respectively. To validate this map we are going compare X</w:t>
      </w:r>
      <w:r w:rsidR="000C0A61">
        <w:rPr>
          <w:vertAlign w:val="superscript"/>
        </w:rPr>
        <w:t>2</w:t>
      </w:r>
      <w:r w:rsidR="000C0A61">
        <w:t xml:space="preserve">, LL, and K statistics using the same </w:t>
      </w:r>
      <w:r w:rsidR="00425447">
        <w:t>“</w:t>
      </w:r>
      <w:r>
        <w:t>RMRS Raster Utility</w:t>
      </w:r>
      <w:r w:rsidR="00425447">
        <w:t>”</w:t>
      </w:r>
      <w:r>
        <w:t xml:space="preserve"> tool “Accuracy Assessment”</w:t>
      </w:r>
      <w:r w:rsidR="000C0A61">
        <w:t xml:space="preserve"> presented in exercise 2</w:t>
      </w:r>
      <w:r>
        <w:t xml:space="preserve">. </w:t>
      </w:r>
      <w:r w:rsidR="000C0A61">
        <w:t>Note, t</w:t>
      </w:r>
      <w:r>
        <w:t xml:space="preserve">he results </w:t>
      </w:r>
      <w:r w:rsidR="00CD5179">
        <w:t>of each</w:t>
      </w:r>
      <w:r w:rsidR="00C86E78">
        <w:t xml:space="preserve"> analysis</w:t>
      </w:r>
      <w:r w:rsidR="00CD5179">
        <w:t xml:space="preserve"> are stored by default </w:t>
      </w:r>
      <w:r>
        <w:t xml:space="preserve">within the file </w:t>
      </w:r>
      <w:proofErr w:type="spellStart"/>
      <w:r>
        <w:t>geodatabase</w:t>
      </w:r>
      <w:proofErr w:type="spellEnd"/>
      <w:r>
        <w:t xml:space="preserve"> located within this tutorial (i.e., </w:t>
      </w:r>
      <w:hyperlink r:id="rId9" w:history="1">
        <w:r w:rsidRPr="00FB15DF">
          <w:rPr>
            <w:rStyle w:val="Hyperlink"/>
          </w:rPr>
          <w:t xml:space="preserve">~ \Accuracy </w:t>
        </w:r>
        <w:proofErr w:type="spellStart"/>
        <w:r w:rsidRPr="00FB15DF">
          <w:rPr>
            <w:rStyle w:val="Hyperlink"/>
          </w:rPr>
          <w:t>Assesment</w:t>
        </w:r>
        <w:proofErr w:type="spellEnd"/>
        <w:r w:rsidRPr="00FB15DF">
          <w:rPr>
            <w:rStyle w:val="Hyperlink"/>
          </w:rPr>
          <w:t>\</w:t>
        </w:r>
        <w:proofErr w:type="spellStart"/>
        <w:r w:rsidRPr="00FB15DF">
          <w:rPr>
            <w:rStyle w:val="Hyperlink"/>
          </w:rPr>
          <w:t>AccuracyAssessment.gdb</w:t>
        </w:r>
        <w:proofErr w:type="spellEnd"/>
        <w:r w:rsidRPr="00FB15DF">
          <w:rPr>
            <w:rStyle w:val="Hyperlink"/>
          </w:rPr>
          <w:t>\SASOUTPUT\ACCURACYASSESSMENT</w:t>
        </w:r>
      </w:hyperlink>
      <w:r>
        <w:t xml:space="preserve">). </w:t>
      </w:r>
      <w:r w:rsidR="000C0A61">
        <w:t>To compare 2 accuracy assessments we will need to override the default storage location when prompted.</w:t>
      </w:r>
    </w:p>
    <w:p w:rsidR="00B176AB" w:rsidRDefault="000C0A61" w:rsidP="00FB15DF">
      <w:r>
        <w:tab/>
        <w:t>To begin th</w:t>
      </w:r>
      <w:r w:rsidR="00A57F55">
        <w:t>e</w:t>
      </w:r>
      <w:r>
        <w:t xml:space="preserve"> exercise</w:t>
      </w:r>
      <w:r w:rsidR="00A57F55">
        <w:t>,</w:t>
      </w:r>
      <w:r>
        <w:t xml:space="preserve"> please open the “</w:t>
      </w:r>
      <w:proofErr w:type="spellStart"/>
      <w:r>
        <w:t>AccuacyAssessment.mxd</w:t>
      </w:r>
      <w:proofErr w:type="spellEnd"/>
      <w:r>
        <w:t>” map document (</w:t>
      </w:r>
      <w:hyperlink r:id="rId10" w:history="1">
        <w:r w:rsidRPr="00613D07">
          <w:rPr>
            <w:rStyle w:val="Hyperlink"/>
          </w:rPr>
          <w:t>link to map document</w:t>
        </w:r>
      </w:hyperlink>
      <w:r>
        <w:t xml:space="preserve">). If the </w:t>
      </w:r>
      <w:r w:rsidR="00425447">
        <w:t>“</w:t>
      </w:r>
      <w:r>
        <w:t>Training</w:t>
      </w:r>
      <w:r w:rsidR="00425447">
        <w:t>”</w:t>
      </w:r>
      <w:r>
        <w:t xml:space="preserve"> and </w:t>
      </w:r>
      <w:r w:rsidR="00425447">
        <w:t>“</w:t>
      </w:r>
      <w:r>
        <w:t>Validation</w:t>
      </w:r>
      <w:r w:rsidR="00425447">
        <w:t>”</w:t>
      </w:r>
      <w:r>
        <w:t xml:space="preserve"> point feature classes are not already loaded into the map please add them at this time</w:t>
      </w:r>
      <w:r w:rsidR="00C86E78">
        <w:rPr>
          <w:rStyle w:val="FootnoteReference"/>
        </w:rPr>
        <w:footnoteReference w:id="2"/>
      </w:r>
      <w:r>
        <w:t xml:space="preserve">. Training and Validation feature classes can be found in the </w:t>
      </w:r>
      <w:r w:rsidR="00425447">
        <w:t>“</w:t>
      </w:r>
      <w:proofErr w:type="spellStart"/>
      <w:r>
        <w:t>AccuracyAssessment.gdb</w:t>
      </w:r>
      <w:proofErr w:type="spellEnd"/>
      <w:r w:rsidR="00425447">
        <w:t>”</w:t>
      </w:r>
      <w:r>
        <w:t xml:space="preserve"> file </w:t>
      </w:r>
      <w:proofErr w:type="spellStart"/>
      <w:r>
        <w:t>geodatabase</w:t>
      </w:r>
      <w:proofErr w:type="spellEnd"/>
      <w:r w:rsidR="00A57F55">
        <w:t xml:space="preserve"> and are named “Training” and “Validation”</w:t>
      </w:r>
      <w:r w:rsidR="00B176AB">
        <w:t>, respectively</w:t>
      </w:r>
      <w:r>
        <w:t>.</w:t>
      </w:r>
      <w:r w:rsidR="00B176AB">
        <w:t xml:space="preserve"> After o</w:t>
      </w:r>
      <w:r w:rsidR="00594417">
        <w:t>pening the map,</w:t>
      </w:r>
      <w:r w:rsidR="00B176AB">
        <w:t xml:space="preserve"> let’s create an error matrix for the training data. Left Click on the </w:t>
      </w:r>
      <w:r w:rsidR="00425447">
        <w:t>“</w:t>
      </w:r>
      <w:r w:rsidR="00F94F3C">
        <w:t>Accuracy</w:t>
      </w:r>
      <w:r w:rsidR="00B176AB">
        <w:t xml:space="preserve"> Assessment</w:t>
      </w:r>
      <w:r w:rsidR="00425447">
        <w:t>”</w:t>
      </w:r>
      <w:r w:rsidR="00B176AB">
        <w:t xml:space="preserve"> button within the </w:t>
      </w:r>
      <w:r w:rsidR="00425447">
        <w:t>“</w:t>
      </w:r>
      <w:r w:rsidR="00B176AB">
        <w:t>Statistical Modeling</w:t>
      </w:r>
      <w:r w:rsidR="00425447">
        <w:t>”</w:t>
      </w:r>
      <w:r w:rsidR="00B176AB">
        <w:t xml:space="preserve"> Menu of the </w:t>
      </w:r>
      <w:r w:rsidR="00425447">
        <w:t>“</w:t>
      </w:r>
      <w:r w:rsidR="00B176AB">
        <w:t>RMRS Raster Utility</w:t>
      </w:r>
      <w:r w:rsidR="00425447">
        <w:t>”</w:t>
      </w:r>
      <w:r w:rsidR="00B176AB">
        <w:t xml:space="preserve"> toolbar</w:t>
      </w:r>
      <w:r w:rsidR="00594417">
        <w:t>.</w:t>
      </w:r>
    </w:p>
    <w:p w:rsidR="0035395F" w:rsidRDefault="0035395F" w:rsidP="00FB15DF">
      <w:r>
        <w:rPr>
          <w:noProof/>
        </w:rPr>
        <w:drawing>
          <wp:anchor distT="0" distB="0" distL="114300" distR="114300" simplePos="0" relativeHeight="251660288" behindDoc="0" locked="0" layoutInCell="1" allowOverlap="1" wp14:anchorId="1D0A763E" wp14:editId="3566F746">
            <wp:simplePos x="0" y="0"/>
            <wp:positionH relativeFrom="column">
              <wp:posOffset>1235710</wp:posOffset>
            </wp:positionH>
            <wp:positionV relativeFrom="paragraph">
              <wp:posOffset>729781</wp:posOffset>
            </wp:positionV>
            <wp:extent cx="1376045" cy="1542415"/>
            <wp:effectExtent l="0" t="0" r="0" b="63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6045" cy="1542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4F3C">
        <w:rPr>
          <w:noProof/>
        </w:rPr>
        <w:drawing>
          <wp:inline distT="0" distB="0" distL="0" distR="0" wp14:anchorId="7A45F830" wp14:editId="5EFD4C38">
            <wp:extent cx="5923722" cy="3570136"/>
            <wp:effectExtent l="0" t="0" r="127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" r="49863" b="3307"/>
                    <a:stretch/>
                  </pic:blipFill>
                  <pic:spPr bwMode="auto">
                    <a:xfrm>
                      <a:off x="0" y="0"/>
                      <a:ext cx="5919763" cy="3567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5395F">
        <w:rPr>
          <w:noProof/>
        </w:rPr>
        <w:t xml:space="preserve"> </w:t>
      </w:r>
    </w:p>
    <w:p w:rsidR="00276FE6" w:rsidRDefault="00B176AB" w:rsidP="00276FE6">
      <w:r>
        <w:lastRenderedPageBreak/>
        <w:t xml:space="preserve">In the </w:t>
      </w:r>
      <w:r w:rsidR="00425447">
        <w:t>“</w:t>
      </w:r>
      <w:r>
        <w:t>Feature Class</w:t>
      </w:r>
      <w:r w:rsidR="00425447">
        <w:t>”</w:t>
      </w:r>
      <w:r>
        <w:t xml:space="preserve"> dropdown select the </w:t>
      </w:r>
      <w:r w:rsidR="0035395F">
        <w:t>“</w:t>
      </w:r>
      <w:r>
        <w:t>Training</w:t>
      </w:r>
      <w:r w:rsidR="0035395F">
        <w:t>”</w:t>
      </w:r>
      <w:r>
        <w:t xml:space="preserve"> point feature class. In the </w:t>
      </w:r>
      <w:r w:rsidR="00425447">
        <w:t>“M</w:t>
      </w:r>
      <w:r>
        <w:t>apped</w:t>
      </w:r>
      <w:r w:rsidR="00425447">
        <w:t>”</w:t>
      </w:r>
      <w:r>
        <w:t xml:space="preserve"> field dropdown select the </w:t>
      </w:r>
      <w:r w:rsidR="00425447">
        <w:t>“</w:t>
      </w:r>
      <w:r>
        <w:t>Value</w:t>
      </w:r>
      <w:r w:rsidR="00425447">
        <w:t>”</w:t>
      </w:r>
      <w:r>
        <w:t xml:space="preserve"> field. For the </w:t>
      </w:r>
      <w:r w:rsidR="00425447">
        <w:t>“R</w:t>
      </w:r>
      <w:r>
        <w:t>eference</w:t>
      </w:r>
      <w:r w:rsidR="00425447">
        <w:t>”</w:t>
      </w:r>
      <w:r>
        <w:t xml:space="preserve"> field dropdown select the </w:t>
      </w:r>
      <w:r w:rsidR="00425447">
        <w:t>“</w:t>
      </w:r>
      <w:r>
        <w:t>Category</w:t>
      </w:r>
      <w:r w:rsidR="00425447">
        <w:t>”</w:t>
      </w:r>
      <w:r>
        <w:t xml:space="preserve"> field. Leave the </w:t>
      </w:r>
      <w:r w:rsidR="00425447">
        <w:t>“W</w:t>
      </w:r>
      <w:r>
        <w:t>eight</w:t>
      </w:r>
      <w:r w:rsidR="00425447">
        <w:t>”</w:t>
      </w:r>
      <w:r>
        <w:t xml:space="preserve"> field dropdown blank. For the </w:t>
      </w:r>
      <w:r w:rsidR="00425447">
        <w:t>“</w:t>
      </w:r>
      <w:r>
        <w:t>Map to Update CI</w:t>
      </w:r>
      <w:r w:rsidR="00425447">
        <w:t>”</w:t>
      </w:r>
      <w:r>
        <w:t xml:space="preserve"> </w:t>
      </w:r>
      <w:r w:rsidR="0035395F">
        <w:t xml:space="preserve">select the </w:t>
      </w:r>
      <w:r w:rsidR="00425447">
        <w:t>“</w:t>
      </w:r>
      <w:r w:rsidR="0035395F">
        <w:t>CCCD</w:t>
      </w:r>
      <w:r w:rsidR="00425447">
        <w:t>”</w:t>
      </w:r>
      <w:r w:rsidR="0035395F">
        <w:t xml:space="preserve"> raster surface and make sure </w:t>
      </w:r>
      <w:r w:rsidR="00425447">
        <w:t>“</w:t>
      </w:r>
      <w:r w:rsidR="0035395F">
        <w:t>Exact</w:t>
      </w:r>
      <w:r w:rsidR="00425447">
        <w:t>”</w:t>
      </w:r>
      <w:r w:rsidR="0035395F">
        <w:rPr>
          <w:rStyle w:val="FootnoteReference"/>
        </w:rPr>
        <w:footnoteReference w:id="3"/>
      </w:r>
      <w:r w:rsidR="0035395F">
        <w:t xml:space="preserve"> is unchecked. Next left click the </w:t>
      </w:r>
      <w:r w:rsidR="00425447">
        <w:t>“</w:t>
      </w:r>
      <w:r w:rsidR="0035395F">
        <w:t>Execute</w:t>
      </w:r>
      <w:r w:rsidR="00425447">
        <w:t>”</w:t>
      </w:r>
      <w:r w:rsidR="0035395F">
        <w:t xml:space="preserve"> button. If you completed exercise 2 you will be prompted with a message stating an accuracy assessment currently exists. Do you want to rename the existing accuracy assessment? Click on the </w:t>
      </w:r>
      <w:r w:rsidR="00425447">
        <w:t>“Y</w:t>
      </w:r>
      <w:r w:rsidR="0035395F">
        <w:t>es</w:t>
      </w:r>
      <w:r w:rsidR="00425447">
        <w:t>”</w:t>
      </w:r>
      <w:r w:rsidR="0035395F">
        <w:t xml:space="preserve"> button and when prompted for a new name</w:t>
      </w:r>
      <w:r w:rsidR="008563DC">
        <w:t>, type</w:t>
      </w:r>
      <w:r w:rsidR="0035395F">
        <w:t xml:space="preserve"> “</w:t>
      </w:r>
      <w:proofErr w:type="spellStart"/>
      <w:r w:rsidR="0035395F">
        <w:t>ValidationAA</w:t>
      </w:r>
      <w:proofErr w:type="spellEnd"/>
      <w:r w:rsidR="0035395F">
        <w:t xml:space="preserve">”. This action will rename the </w:t>
      </w:r>
      <w:r w:rsidR="008563DC">
        <w:t xml:space="preserve">root directory of the </w:t>
      </w:r>
      <w:r w:rsidR="0035395F">
        <w:t>previous analysis to</w:t>
      </w:r>
      <w:r w:rsidR="008563DC">
        <w:t xml:space="preserve"> “</w:t>
      </w:r>
      <w:proofErr w:type="spellStart"/>
      <w:r w:rsidR="008563DC">
        <w:t>ValidationAA</w:t>
      </w:r>
      <w:proofErr w:type="spellEnd"/>
      <w:r w:rsidR="008563DC">
        <w:t xml:space="preserve">” and will then create a new </w:t>
      </w:r>
      <w:r w:rsidR="00425447">
        <w:t>“</w:t>
      </w:r>
      <w:r w:rsidR="008563DC">
        <w:t>ACCURACYASSESSMENT</w:t>
      </w:r>
      <w:r w:rsidR="00425447">
        <w:t>”</w:t>
      </w:r>
      <w:r w:rsidR="008563DC">
        <w:t xml:space="preserve"> directory to store the outputs of this analysis. When the SAS procedures finish a new window will open display the results of the analysis. </w:t>
      </w:r>
    </w:p>
    <w:p w:rsidR="00276FE6" w:rsidRDefault="004144DC" w:rsidP="00276FE6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B5D2DEA" wp14:editId="10B72F18">
                <wp:simplePos x="0" y="0"/>
                <wp:positionH relativeFrom="column">
                  <wp:posOffset>1247775</wp:posOffset>
                </wp:positionH>
                <wp:positionV relativeFrom="paragraph">
                  <wp:posOffset>985216</wp:posOffset>
                </wp:positionV>
                <wp:extent cx="3132455" cy="230505"/>
                <wp:effectExtent l="0" t="0" r="10795" b="1714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2455" cy="2305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" o:spid="_x0000_s1026" style="position:absolute;margin-left:98.25pt;margin-top:77.6pt;width:246.65pt;height:18.1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" filled="f" strokecolor="#548dd4 [1951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D480982" wp14:editId="4FA1C05A">
                <wp:simplePos x="0" y="0"/>
                <wp:positionH relativeFrom="column">
                  <wp:posOffset>1844675</wp:posOffset>
                </wp:positionH>
                <wp:positionV relativeFrom="paragraph">
                  <wp:posOffset>5143831</wp:posOffset>
                </wp:positionV>
                <wp:extent cx="1908313" cy="238208"/>
                <wp:effectExtent l="0" t="0" r="15875" b="2857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8313" cy="23820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" o:spid="_x0000_s1026" style="position:absolute;margin-left:145.25pt;margin-top:405.05pt;width:150.25pt;height:18.7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" filled="f" strokecolor="#548dd4 [1951]" strokeweight="2pt"/>
            </w:pict>
          </mc:Fallback>
        </mc:AlternateContent>
      </w:r>
      <w:r w:rsidR="00276FE6">
        <w:rPr>
          <w:noProof/>
        </w:rPr>
        <w:drawing>
          <wp:inline distT="0" distB="0" distL="0" distR="0" wp14:anchorId="7C8CC90C" wp14:editId="537FD5A5">
            <wp:extent cx="5943600" cy="556704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6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6FE6">
        <w:t xml:space="preserve"> </w:t>
      </w:r>
      <w:bookmarkStart w:id="0" w:name="_MON_1399986335"/>
      <w:bookmarkEnd w:id="0"/>
      <w:r w:rsidR="00276FE6">
        <w:object w:dxaOrig="7023" w:dyaOrig="38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1.25pt;height:19.4pt" o:ole="">
            <v:imagedata r:id="rId14" o:title=""/>
          </v:shape>
          <o:OLEObject Type="Embed" ProgID="Word.OpenDocumentText.12" ShapeID="_x0000_i1025" DrawAspect="Content" ObjectID="_1402128910" r:id="rId15"/>
        </w:object>
      </w:r>
    </w:p>
    <w:p w:rsidR="00594417" w:rsidRPr="00594417" w:rsidRDefault="00594417" w:rsidP="00276FE6">
      <w:r>
        <w:lastRenderedPageBreak/>
        <w:t>Scroll down and find the X</w:t>
      </w:r>
      <w:r>
        <w:rPr>
          <w:vertAlign w:val="superscript"/>
        </w:rPr>
        <w:t>2</w:t>
      </w:r>
      <w:r>
        <w:t xml:space="preserve"> (</w:t>
      </w:r>
      <w:r w:rsidR="004144DC">
        <w:t>3347.0380</w:t>
      </w:r>
      <w:r>
        <w:t xml:space="preserve">), </w:t>
      </w:r>
      <w:proofErr w:type="gramStart"/>
      <w:r>
        <w:t>LL(</w:t>
      </w:r>
      <w:proofErr w:type="gramEnd"/>
      <w:r w:rsidR="004144DC">
        <w:t>2609.6979</w:t>
      </w:r>
      <w:r>
        <w:t>), and K(</w:t>
      </w:r>
      <w:r w:rsidR="004144DC">
        <w:t>0.4287; ASE 0.0095</w:t>
      </w:r>
      <w:r>
        <w:t>) statistics from the results</w:t>
      </w:r>
      <w:r w:rsidR="004144DC">
        <w:t xml:space="preserve"> (blue squares)</w:t>
      </w:r>
      <w:r>
        <w:t>. We will use these values to compare</w:t>
      </w:r>
      <w:r w:rsidR="00602154">
        <w:t xml:space="preserve"> against</w:t>
      </w:r>
      <w:r>
        <w:t xml:space="preserve"> our independent validation. </w:t>
      </w:r>
    </w:p>
    <w:p w:rsidR="007A78ED" w:rsidRDefault="008563DC" w:rsidP="004144DC">
      <w:pPr>
        <w:ind w:firstLine="720"/>
      </w:pPr>
      <w:r>
        <w:t xml:space="preserve">To compare these results with our independent validation </w:t>
      </w:r>
      <w:r w:rsidR="00232498">
        <w:t>analysis we need to</w:t>
      </w:r>
      <w:r w:rsidR="0098722F">
        <w:t xml:space="preserve"> </w:t>
      </w:r>
      <w:r w:rsidR="00232498">
        <w:t xml:space="preserve">open </w:t>
      </w:r>
      <w:r w:rsidR="00F94F3C">
        <w:t xml:space="preserve">the </w:t>
      </w:r>
      <w:proofErr w:type="spellStart"/>
      <w:r w:rsidR="00232498">
        <w:t>prc.</w:t>
      </w:r>
      <w:r w:rsidR="00094B11">
        <w:t>lst</w:t>
      </w:r>
      <w:proofErr w:type="spellEnd"/>
      <w:r w:rsidR="00232498">
        <w:t xml:space="preserve"> file (SAS output) located within the SASOUTPUT\</w:t>
      </w:r>
      <w:proofErr w:type="spellStart"/>
      <w:r w:rsidR="00232498">
        <w:t>ValidationAA</w:t>
      </w:r>
      <w:proofErr w:type="spellEnd"/>
      <w:r w:rsidR="00094B11">
        <w:t xml:space="preserve"> directory</w:t>
      </w:r>
      <w:r w:rsidR="00594417">
        <w:rPr>
          <w:rStyle w:val="FootnoteReference"/>
        </w:rPr>
        <w:footnoteReference w:id="4"/>
      </w:r>
      <w:r w:rsidR="00232498">
        <w:t>.</w:t>
      </w:r>
      <w:r w:rsidR="00276FE6">
        <w:t xml:space="preserve"> </w:t>
      </w:r>
      <w:r w:rsidR="00DC5EC9">
        <w:t xml:space="preserve">To open this file </w:t>
      </w:r>
      <w:r w:rsidR="00094B11">
        <w:t>and view its contents we are going to use</w:t>
      </w:r>
      <w:r w:rsidR="00425447">
        <w:t xml:space="preserve"> </w:t>
      </w:r>
      <w:proofErr w:type="spellStart"/>
      <w:r w:rsidR="00425447">
        <w:t>NoteP</w:t>
      </w:r>
      <w:r w:rsidR="00DC5EC9">
        <w:t>ad</w:t>
      </w:r>
      <w:proofErr w:type="spellEnd"/>
      <w:r w:rsidR="00094B11">
        <w:t>. N</w:t>
      </w:r>
      <w:r w:rsidR="00DC5EC9">
        <w:t>avigate to the SASOUTPUT\</w:t>
      </w:r>
      <w:proofErr w:type="spellStart"/>
      <w:r w:rsidR="00094B11">
        <w:t>ValidationAA</w:t>
      </w:r>
      <w:proofErr w:type="spellEnd"/>
      <w:r w:rsidR="00DC5EC9">
        <w:t xml:space="preserve"> directory and right click on the </w:t>
      </w:r>
      <w:proofErr w:type="spellStart"/>
      <w:r w:rsidR="00DC5EC9">
        <w:t>prc.lst</w:t>
      </w:r>
      <w:proofErr w:type="spellEnd"/>
      <w:r w:rsidR="00DC5EC9">
        <w:t xml:space="preserve"> file. Next left</w:t>
      </w:r>
      <w:r w:rsidR="00425447">
        <w:t xml:space="preserve"> click on open with and select </w:t>
      </w:r>
      <w:proofErr w:type="spellStart"/>
      <w:r w:rsidR="00425447">
        <w:t>NoteP</w:t>
      </w:r>
      <w:r w:rsidR="00DC5EC9">
        <w:t>ad</w:t>
      </w:r>
      <w:proofErr w:type="spellEnd"/>
      <w:r w:rsidR="00DC5EC9">
        <w:t xml:space="preserve"> application. </w:t>
      </w:r>
    </w:p>
    <w:p w:rsidR="00DC5EC9" w:rsidRDefault="00DC5EC9" w:rsidP="00DC5EC9">
      <w:pPr>
        <w:jc w:val="center"/>
      </w:pPr>
      <w:r>
        <w:rPr>
          <w:noProof/>
        </w:rPr>
        <w:drawing>
          <wp:inline distT="0" distB="0" distL="0" distR="0" wp14:anchorId="7D82E3FA" wp14:editId="03F954AF">
            <wp:extent cx="5637475" cy="4036755"/>
            <wp:effectExtent l="0" t="0" r="1905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55348" t="11966" r="13540" b="16744"/>
                    <a:stretch/>
                  </pic:blipFill>
                  <pic:spPr bwMode="auto">
                    <a:xfrm>
                      <a:off x="0" y="0"/>
                      <a:ext cx="5660800" cy="40534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2079" w:rsidRDefault="00883A52" w:rsidP="00883A52">
      <w:r>
        <w:t>After opening the document scroll down past the error matrix tables until you see the title “Statistics for Table of Value by Category”. The X</w:t>
      </w:r>
      <w:r>
        <w:rPr>
          <w:vertAlign w:val="superscript"/>
        </w:rPr>
        <w:t>2</w:t>
      </w:r>
      <w:r>
        <w:t xml:space="preserve"> (</w:t>
      </w:r>
      <w:r w:rsidR="00F94F3C">
        <w:t>180.1664</w:t>
      </w:r>
      <w:r>
        <w:t>) and the LL (</w:t>
      </w:r>
      <w:r w:rsidR="00F94F3C">
        <w:t>166.0548</w:t>
      </w:r>
      <w:r>
        <w:t>) statistics indicate that we reject the null hypothesis of no association between mapped and observed values, suggesting that it is very unlikely that this result is due to random chance</w:t>
      </w:r>
      <w:r w:rsidR="00602FEB">
        <w:t xml:space="preserve"> alone</w:t>
      </w:r>
      <w:r>
        <w:t xml:space="preserve"> (p-values &lt; 0.0001).</w:t>
      </w:r>
      <w:r w:rsidR="004144DC">
        <w:t xml:space="preserve"> In addition</w:t>
      </w:r>
      <w:r w:rsidR="00425447">
        <w:t>,</w:t>
      </w:r>
      <w:r w:rsidR="004144DC">
        <w:t xml:space="preserve"> the K statistic (0.3912; ASE 0.0382) suggest that there is a moderate level of agreement between mapped and observed classes and that that level of agreement is very unlikely due to chance alone (p-value &lt; 0.001).</w:t>
      </w:r>
      <w:r w:rsidR="00602FEB">
        <w:t xml:space="preserve"> </w:t>
      </w:r>
    </w:p>
    <w:p w:rsidR="00E02079" w:rsidRDefault="00E02079" w:rsidP="00883A5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28E275" wp14:editId="28847A2C">
                <wp:simplePos x="0" y="0"/>
                <wp:positionH relativeFrom="column">
                  <wp:posOffset>1136650</wp:posOffset>
                </wp:positionH>
                <wp:positionV relativeFrom="paragraph">
                  <wp:posOffset>1595755</wp:posOffset>
                </wp:positionV>
                <wp:extent cx="3434080" cy="341630"/>
                <wp:effectExtent l="0" t="0" r="13970" b="2032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4080" cy="3416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89.5pt;margin-top:125.65pt;width:270.4pt;height:26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6BB97EAF" wp14:editId="463DEFE4">
            <wp:extent cx="5943600" cy="5580380"/>
            <wp:effectExtent l="0" t="0" r="0" b="12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8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6C0" w:rsidRDefault="00602FEB" w:rsidP="00883A52">
      <w:r>
        <w:t>Also not</w:t>
      </w:r>
      <w:r w:rsidR="00810616">
        <w:t>e</w:t>
      </w:r>
      <w:r>
        <w:t xml:space="preserve"> just below the X</w:t>
      </w:r>
      <w:r>
        <w:rPr>
          <w:vertAlign w:val="superscript"/>
        </w:rPr>
        <w:t>2</w:t>
      </w:r>
      <w:r>
        <w:t xml:space="preserve"> and LL statistics there is a warning stating that </w:t>
      </w:r>
      <w:r w:rsidR="00E02079">
        <w:t>71</w:t>
      </w:r>
      <w:r>
        <w:t>% of the cells have expected counts less than 5</w:t>
      </w:r>
      <w:r w:rsidR="00425447">
        <w:t>,</w:t>
      </w:r>
      <w:bookmarkStart w:id="1" w:name="_GoBack"/>
      <w:bookmarkEnd w:id="1"/>
      <w:r>
        <w:t xml:space="preserve"> indicating that these statistics may not be valid (Red Box).</w:t>
      </w:r>
      <w:r w:rsidR="00B10B4D">
        <w:t xml:space="preserve"> Our sample size</w:t>
      </w:r>
      <w:r w:rsidR="004144DC">
        <w:t>,</w:t>
      </w:r>
      <w:r w:rsidR="00B10B4D">
        <w:t xml:space="preserve"> however</w:t>
      </w:r>
      <w:r w:rsidR="004144DC">
        <w:t>,</w:t>
      </w:r>
      <w:r w:rsidR="00B10B4D">
        <w:t xml:space="preserve"> is relatively large (210)</w:t>
      </w:r>
      <w:r>
        <w:t xml:space="preserve"> </w:t>
      </w:r>
      <w:r w:rsidR="00F846C0">
        <w:t>and for most situations with large sample sizes</w:t>
      </w:r>
      <w:r w:rsidR="00810616">
        <w:rPr>
          <w:rStyle w:val="FootnoteReference"/>
        </w:rPr>
        <w:footnoteReference w:id="5"/>
      </w:r>
      <w:r w:rsidR="00F846C0">
        <w:t>, asymptotic methods are valid.</w:t>
      </w:r>
      <w:r w:rsidR="00F846C0">
        <w:rPr>
          <w:rStyle w:val="FootnoteReference"/>
        </w:rPr>
        <w:footnoteReference w:id="6"/>
      </w:r>
      <w:r w:rsidR="00F846C0">
        <w:t xml:space="preserve"> </w:t>
      </w:r>
      <w:r>
        <w:t xml:space="preserve">In </w:t>
      </w:r>
      <w:r w:rsidR="00F846C0">
        <w:t>situations where sample size is small</w:t>
      </w:r>
      <w:r>
        <w:t xml:space="preserve"> we need to look at statistics generated from exact estimates</w:t>
      </w:r>
      <w:r w:rsidR="00040955">
        <w:t xml:space="preserve">. </w:t>
      </w:r>
      <w:r w:rsidR="00E02079">
        <w:t>To do this</w:t>
      </w:r>
      <w:r w:rsidR="00F846C0">
        <w:t>,</w:t>
      </w:r>
      <w:r w:rsidR="00E02079">
        <w:t xml:space="preserve"> </w:t>
      </w:r>
      <w:r w:rsidR="00F846C0">
        <w:t xml:space="preserve">simply check the exact checkbox when running the </w:t>
      </w:r>
      <w:r w:rsidR="00E02079">
        <w:t>accuracy assessment</w:t>
      </w:r>
      <w:r w:rsidR="00F846C0">
        <w:t xml:space="preserve"> to</w:t>
      </w:r>
      <w:r w:rsidR="00E02079">
        <w:t>ol</w:t>
      </w:r>
      <w:r w:rsidR="008B34BF">
        <w:t>.</w:t>
      </w:r>
    </w:p>
    <w:p w:rsidR="00883A52" w:rsidRDefault="00E02079" w:rsidP="00883A52">
      <w:r>
        <w:t xml:space="preserve"> </w:t>
      </w:r>
      <w:r w:rsidR="00F846C0">
        <w:tab/>
        <w:t>Now that we have both analyses open (training and validation) let’s compare the outputs</w:t>
      </w:r>
      <w:r w:rsidR="00276FE6">
        <w:t xml:space="preserve">. Both </w:t>
      </w:r>
      <w:r w:rsidR="00E6548A">
        <w:t xml:space="preserve">training and validation analysis outputs </w:t>
      </w:r>
      <w:r w:rsidR="00276FE6">
        <w:t>X</w:t>
      </w:r>
      <w:r w:rsidR="00276FE6">
        <w:rPr>
          <w:vertAlign w:val="superscript"/>
        </w:rPr>
        <w:t>2</w:t>
      </w:r>
      <w:r w:rsidR="00E6548A">
        <w:t xml:space="preserve"> and LL statistics</w:t>
      </w:r>
      <w:r w:rsidR="00276FE6">
        <w:t xml:space="preserve"> indicate that we reject the null hypothesis</w:t>
      </w:r>
      <w:r w:rsidR="00E6548A">
        <w:t xml:space="preserve"> of no association between mapped and observed classes (p-value &lt; 0.001). Moreover,</w:t>
      </w:r>
      <w:r w:rsidR="00276FE6">
        <w:t xml:space="preserve"> K values are similar </w:t>
      </w:r>
      <w:r w:rsidR="00276FE6">
        <w:lastRenderedPageBreak/>
        <w:t>with overlapping confidence intervals</w:t>
      </w:r>
      <w:r w:rsidR="00E6548A">
        <w:t>, indicating that there is no statistical difference in the level of agreement between both analyses (95% confidence level). When looking at individual class accuracies (the diagonal of the</w:t>
      </w:r>
      <w:r w:rsidR="00810616">
        <w:t xml:space="preserve"> error matrix), we see a similar trends between the two datasets. Comparing</w:t>
      </w:r>
      <w:r w:rsidR="00276FE6">
        <w:t xml:space="preserve"> overall map accuracy we </w:t>
      </w:r>
      <w:r w:rsidR="00810616">
        <w:t xml:space="preserve">also </w:t>
      </w:r>
      <w:r w:rsidR="00276FE6">
        <w:t xml:space="preserve">see that the training data had a map accuracy of </w:t>
      </w:r>
      <w:r w:rsidR="00E6548A">
        <w:t xml:space="preserve">57.46% </w:t>
      </w:r>
      <w:r w:rsidR="004144DC">
        <w:t xml:space="preserve">while the validation dataset had a map accuracy of </w:t>
      </w:r>
      <w:r w:rsidR="00E6548A">
        <w:t xml:space="preserve">53.59%. </w:t>
      </w:r>
      <w:r w:rsidR="00810616">
        <w:t xml:space="preserve">Together, all these statistics </w:t>
      </w:r>
      <w:r w:rsidR="00E6548A">
        <w:t>are ve</w:t>
      </w:r>
      <w:r w:rsidR="00810616">
        <w:t xml:space="preserve">ry close to one another, </w:t>
      </w:r>
      <w:r w:rsidR="00E6548A">
        <w:t>suggesting that our classification is not biased and is applicable across the extent of the map.</w:t>
      </w:r>
      <w:r w:rsidR="00810616">
        <w:t xml:space="preserve"> In later exercises we will show how to definitively test individual class accuracies and overall map accuracy. </w:t>
      </w:r>
    </w:p>
    <w:p w:rsidR="003F5870" w:rsidRDefault="003F5870" w:rsidP="00883A52">
      <w:r>
        <w:t>Exercise Questions [</w:t>
      </w:r>
      <w:hyperlink r:id="rId18" w:history="1">
        <w:r w:rsidRPr="003F5870">
          <w:rPr>
            <w:rStyle w:val="Hyperlink"/>
          </w:rPr>
          <w:t>Answers</w:t>
        </w:r>
      </w:hyperlink>
      <w:r>
        <w:t>]</w:t>
      </w:r>
    </w:p>
    <w:p w:rsidR="003F5870" w:rsidRDefault="003F5870" w:rsidP="003F5870">
      <w:pPr>
        <w:pStyle w:val="ListParagraph"/>
        <w:numPr>
          <w:ilvl w:val="0"/>
          <w:numId w:val="1"/>
        </w:numPr>
      </w:pPr>
      <w:r>
        <w:t>Are the results different if you omit the weight field? If so how?</w:t>
      </w:r>
    </w:p>
    <w:p w:rsidR="003F5870" w:rsidRDefault="003F5870" w:rsidP="003F5870">
      <w:pPr>
        <w:pStyle w:val="ListParagraph"/>
        <w:numPr>
          <w:ilvl w:val="0"/>
          <w:numId w:val="1"/>
        </w:numPr>
      </w:pPr>
      <w:r>
        <w:t>Weights were calculated from 2 different sources for the training and validation dataset. What were those sources?</w:t>
      </w:r>
    </w:p>
    <w:p w:rsidR="003F5870" w:rsidRPr="00602FEB" w:rsidRDefault="003F5870" w:rsidP="003F5870">
      <w:pPr>
        <w:pStyle w:val="ListParagraph"/>
        <w:numPr>
          <w:ilvl w:val="0"/>
          <w:numId w:val="1"/>
        </w:numPr>
      </w:pPr>
      <w:r>
        <w:t xml:space="preserve">Why are the outputs comparable given the different </w:t>
      </w:r>
      <w:r w:rsidR="000B79DD">
        <w:t xml:space="preserve">sample </w:t>
      </w:r>
      <w:r>
        <w:t xml:space="preserve">weights? </w:t>
      </w:r>
    </w:p>
    <w:p w:rsidR="00883A52" w:rsidRDefault="00883A52" w:rsidP="00883A52"/>
    <w:sectPr w:rsidR="00883A5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2154" w:rsidRDefault="00602154" w:rsidP="00FB15DF">
      <w:pPr>
        <w:spacing w:after="0" w:line="240" w:lineRule="auto"/>
      </w:pPr>
      <w:r>
        <w:separator/>
      </w:r>
    </w:p>
  </w:endnote>
  <w:endnote w:type="continuationSeparator" w:id="0">
    <w:p w:rsidR="00602154" w:rsidRDefault="00602154" w:rsidP="00FB15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2154" w:rsidRDefault="00602154" w:rsidP="00FB15DF">
      <w:pPr>
        <w:spacing w:after="0" w:line="240" w:lineRule="auto"/>
      </w:pPr>
      <w:r>
        <w:separator/>
      </w:r>
    </w:p>
  </w:footnote>
  <w:footnote w:type="continuationSeparator" w:id="0">
    <w:p w:rsidR="00602154" w:rsidRDefault="00602154" w:rsidP="00FB15DF">
      <w:pPr>
        <w:spacing w:after="0" w:line="240" w:lineRule="auto"/>
      </w:pPr>
      <w:r>
        <w:continuationSeparator/>
      </w:r>
    </w:p>
  </w:footnote>
  <w:footnote w:id="1">
    <w:p w:rsidR="00602154" w:rsidRDefault="00602154">
      <w:pPr>
        <w:pStyle w:val="FootnoteText"/>
      </w:pPr>
      <w:r>
        <w:rPr>
          <w:rStyle w:val="FootnoteReference"/>
        </w:rPr>
        <w:footnoteRef/>
      </w:r>
      <w:r>
        <w:t xml:space="preserve"> Class 20 was a </w:t>
      </w:r>
      <w:proofErr w:type="spellStart"/>
      <w:r>
        <w:t>nodata</w:t>
      </w:r>
      <w:proofErr w:type="spellEnd"/>
      <w:r>
        <w:t xml:space="preserve"> class and was not sampled. Total sample size is equal to 3800.</w:t>
      </w:r>
    </w:p>
  </w:footnote>
  <w:footnote w:id="2">
    <w:p w:rsidR="00602154" w:rsidRDefault="00602154">
      <w:pPr>
        <w:pStyle w:val="FootnoteText"/>
      </w:pPr>
      <w:r>
        <w:rPr>
          <w:rStyle w:val="FootnoteReference"/>
        </w:rPr>
        <w:footnoteRef/>
      </w:r>
      <w:r>
        <w:t xml:space="preserve"> You may also want to look at the original </w:t>
      </w:r>
      <w:r w:rsidR="00425447">
        <w:t>“</w:t>
      </w:r>
      <w:r>
        <w:t>CLUST</w:t>
      </w:r>
      <w:r w:rsidR="00425447">
        <w:t>”</w:t>
      </w:r>
      <w:r>
        <w:t xml:space="preserve"> raster surface to see the distribution of each cluster. It is also located in the </w:t>
      </w:r>
      <w:r w:rsidR="00425447">
        <w:t>“</w:t>
      </w:r>
      <w:proofErr w:type="spellStart"/>
      <w:r>
        <w:t>AccuracyAssessment</w:t>
      </w:r>
      <w:proofErr w:type="spellEnd"/>
      <w:r w:rsidR="00425447">
        <w:t>”</w:t>
      </w:r>
      <w:r>
        <w:t xml:space="preserve"> field </w:t>
      </w:r>
      <w:proofErr w:type="spellStart"/>
      <w:r>
        <w:t>geodatabase</w:t>
      </w:r>
      <w:proofErr w:type="spellEnd"/>
    </w:p>
  </w:footnote>
  <w:footnote w:id="3">
    <w:p w:rsidR="00602154" w:rsidRDefault="00602154">
      <w:pPr>
        <w:pStyle w:val="FootnoteText"/>
      </w:pPr>
      <w:r>
        <w:rPr>
          <w:rStyle w:val="FootnoteReference"/>
        </w:rPr>
        <w:footnoteRef/>
      </w:r>
      <w:r>
        <w:t xml:space="preserve"> The exact button performs exact calculations of parameters and confidence intervals and is typically used only when sample size is extremely small</w:t>
      </w:r>
    </w:p>
  </w:footnote>
  <w:footnote w:id="4">
    <w:p w:rsidR="00602154" w:rsidRDefault="00602154">
      <w:pPr>
        <w:pStyle w:val="FootnoteText"/>
      </w:pPr>
      <w:r>
        <w:rPr>
          <w:rStyle w:val="FootnoteReference"/>
        </w:rPr>
        <w:footnoteRef/>
      </w:r>
      <w:r>
        <w:t xml:space="preserve"> If Exercise 2 was not completed, you will need to run an accuracy assessment for the validation dataset.</w:t>
      </w:r>
    </w:p>
  </w:footnote>
  <w:footnote w:id="5">
    <w:p w:rsidR="00602154" w:rsidRDefault="00602154">
      <w:pPr>
        <w:pStyle w:val="FootnoteText"/>
      </w:pPr>
      <w:r>
        <w:rPr>
          <w:rStyle w:val="FootnoteReference"/>
        </w:rPr>
        <w:footnoteRef/>
      </w:r>
      <w:r>
        <w:t xml:space="preserve">The weighting component in our analysis reduces the expected cell counts in our error matrix but still provides a representative estimate of class variation, helping to meet the assumptions of asymptotic methods. </w:t>
      </w:r>
    </w:p>
  </w:footnote>
  <w:footnote w:id="6">
    <w:p w:rsidR="00602154" w:rsidRDefault="00602154">
      <w:pPr>
        <w:pStyle w:val="FootnoteText"/>
      </w:pPr>
      <w:r>
        <w:rPr>
          <w:rStyle w:val="FootnoteReference"/>
        </w:rPr>
        <w:footnoteRef/>
      </w:r>
      <w:proofErr w:type="gramStart"/>
      <w:r>
        <w:t>Stokes, M.E., C.S. Davis, G.G Koch.</w:t>
      </w:r>
      <w:proofErr w:type="gramEnd"/>
      <w:r>
        <w:t xml:space="preserve"> 2000. </w:t>
      </w:r>
      <w:r w:rsidRPr="00F846C0">
        <w:rPr>
          <w:i/>
        </w:rPr>
        <w:t>Categorical Data Analysis Using the SAS System</w:t>
      </w:r>
      <w:r>
        <w:t>. 2d ed. Cary N.C: SAS Institute Inc.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9BA20D6"/>
    <w:multiLevelType w:val="hybridMultilevel"/>
    <w:tmpl w:val="CC0EE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02EB"/>
    <w:rsid w:val="00040955"/>
    <w:rsid w:val="00094B11"/>
    <w:rsid w:val="000B79DD"/>
    <w:rsid w:val="000C0A61"/>
    <w:rsid w:val="000F2A7A"/>
    <w:rsid w:val="00165464"/>
    <w:rsid w:val="001D7818"/>
    <w:rsid w:val="00232498"/>
    <w:rsid w:val="00276FE6"/>
    <w:rsid w:val="00293A22"/>
    <w:rsid w:val="002A51D6"/>
    <w:rsid w:val="0035395F"/>
    <w:rsid w:val="003F5870"/>
    <w:rsid w:val="004144DC"/>
    <w:rsid w:val="00425447"/>
    <w:rsid w:val="00477C1E"/>
    <w:rsid w:val="00594417"/>
    <w:rsid w:val="005E18FD"/>
    <w:rsid w:val="006002EB"/>
    <w:rsid w:val="00602154"/>
    <w:rsid w:val="00602FEB"/>
    <w:rsid w:val="00640EC6"/>
    <w:rsid w:val="0065795F"/>
    <w:rsid w:val="00667926"/>
    <w:rsid w:val="006F6CEF"/>
    <w:rsid w:val="007A78ED"/>
    <w:rsid w:val="00810616"/>
    <w:rsid w:val="008563DC"/>
    <w:rsid w:val="00883A52"/>
    <w:rsid w:val="00883FED"/>
    <w:rsid w:val="008B34BF"/>
    <w:rsid w:val="0098722F"/>
    <w:rsid w:val="00A231E7"/>
    <w:rsid w:val="00A57F55"/>
    <w:rsid w:val="00A9587F"/>
    <w:rsid w:val="00B10B4D"/>
    <w:rsid w:val="00B176AB"/>
    <w:rsid w:val="00C00C5E"/>
    <w:rsid w:val="00C86E78"/>
    <w:rsid w:val="00CD5179"/>
    <w:rsid w:val="00DC5EC9"/>
    <w:rsid w:val="00DE7A7C"/>
    <w:rsid w:val="00E02079"/>
    <w:rsid w:val="00E6548A"/>
    <w:rsid w:val="00F846C0"/>
    <w:rsid w:val="00F94F3C"/>
    <w:rsid w:val="00FB15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B15D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FB15DF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B15DF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B15DF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FB15DF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FB15DF"/>
    <w:rPr>
      <w:color w:val="800080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C5E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C5EC9"/>
    <w:rPr>
      <w:rFonts w:ascii="Tahoma" w:hAnsi="Tahoma" w:cs="Tahoma"/>
      <w:sz w:val="16"/>
      <w:szCs w:val="16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594417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94417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594417"/>
    <w:rPr>
      <w:vertAlign w:val="superscript"/>
    </w:rPr>
  </w:style>
  <w:style w:type="paragraph" w:styleId="ListParagraph">
    <w:name w:val="List Paragraph"/>
    <w:basedOn w:val="Normal"/>
    <w:uiPriority w:val="34"/>
    <w:qFormat/>
    <w:rsid w:val="003F587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B15D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FB15DF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B15DF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B15DF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FB15DF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FB15DF"/>
    <w:rPr>
      <w:color w:val="800080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C5E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C5EC9"/>
    <w:rPr>
      <w:rFonts w:ascii="Tahoma" w:hAnsi="Tahoma" w:cs="Tahoma"/>
      <w:sz w:val="16"/>
      <w:szCs w:val="16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594417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94417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594417"/>
    <w:rPr>
      <w:vertAlign w:val="superscript"/>
    </w:rPr>
  </w:style>
  <w:style w:type="paragraph" w:styleId="ListParagraph">
    <w:name w:val="List Paragraph"/>
    <w:basedOn w:val="Normal"/>
    <w:uiPriority w:val="34"/>
    <w:qFormat/>
    <w:rsid w:val="003F587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hyperlink" Target="http://www.fs.fed.us/rm/raster-utility/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oleObject" Target="embeddings/oleObject1.bin"/><Relationship Id="rId10" Type="http://schemas.openxmlformats.org/officeDocument/2006/relationships/hyperlink" Target="AccuracyAssessment.mxd" TargetMode="Externa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AccuracyAssessment.gdb/SASOUTPUT/ACCURACYASSESSMENT" TargetMode="External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0BC19D-6089-4CD8-BAE9-82BFBC29FD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1734</TotalTime>
  <Pages>5</Pages>
  <Words>859</Words>
  <Characters>4900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Montana</Company>
  <LinksUpToDate>false</LinksUpToDate>
  <CharactersWithSpaces>5748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jshogland</dc:creator>
  <cp:keywords/>
  <dc:description/>
  <cp:lastModifiedBy>jshogland</cp:lastModifiedBy>
  <cp:revision>11</cp:revision>
  <dcterms:created xsi:type="dcterms:W3CDTF">2012-05-29T20:07:00Z</dcterms:created>
  <dcterms:modified xsi:type="dcterms:W3CDTF">2012-06-25T17:28:00Z</dcterms:modified>
</cp:coreProperties>
</file>